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76" w:lineRule="auto" w:beforeAutospacing="1" w:afterAutospacing="1"/>
        <w:jc w:val="center"/>
      </w:pPr>
      <w:r>
        <w:rPr>
          <w:rFonts w:ascii="Times New Roman" w:hAnsi="Times New Roman" w:eastAsia="Times New Roman"/>
          <w:b/>
          <w:i w:val="0"/>
          <w:color w:val="1F4E78"/>
          <w:sz w:val="28"/>
        </w:rPr>
        <w:t>ДЕЦА У САОБРАЋАЈУ</w:t>
      </w:r>
    </w:p>
    <w:p>
      <w:pPr>
        <w:spacing w:line="276" w:lineRule="auto" w:beforeAutospacing="1" w:afterAutospacing="1"/>
        <w:jc w:val="center"/>
      </w:pPr>
      <w:r>
        <w:rPr>
          <w:rFonts w:ascii="Times New Roman" w:hAnsi="Times New Roman" w:eastAsia="Times New Roman"/>
          <w:b/>
          <w:i w:val="0"/>
          <w:color w:val="1F4E78"/>
          <w:sz w:val="28"/>
        </w:rPr>
        <w:t>Кратки водич за родитеље ученика IV разреда</w:t>
      </w:r>
    </w:p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ПРЕДВИЂА ПОСЛЕДИЦУ → БИРА И ОБРАЗЛАЖЕ БЕЗБЕДНИЈЕ → ОСТАЈЕ ПРИ ИЗБОРУ И ПОД ПРИТИСКОМ ДРУГИХ</w:t>
      </w:r>
    </w:p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Шта је ваше дете ове недеље учило у школи?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У школи је дете вежбало да препозна ризик, каже шта би могло да се догоди, изабере безбедније решење и образложи га. Посебно је вежбало како да остане при безбеднијој одлуци када друг или група кажу: „Сви то раде“, „Неће ништа бити“, „Немој да се плашиш“ или „Каснимо“.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Важно: способност детета да добро образложи безбеднију одлуку не значи да је спремно за потпуно самостално учешће у сложеном реалном саобраћају. Одрасли и даље надзире и доноси коначну безбедну одлуку.</w:t>
      </w:r>
    </w:p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Пробајте заједно на путу до школе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У наредних седам дана бар једном на познатом делу пута поставите четири кратка питања: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Шта је овде ризик?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Шта може да се догоди?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Који избор је безбеднији и зашто?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Шта би рекао/рекла ако те друг наговара да урадиш нешто ризично?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Саслушајте дететов одговор. Потврдите добро уочено. Ако нешто превиди или изведе погрешан закључак, мирно га исправите и покажите шта је безбедније.</w:t>
      </w:r>
    </w:p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Када вршњаци врше притисак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Кратко увежбајте један одговор. На пример: „Нећу да претрчим. Хајде да станемо и пређемо када буде безбедно.“ Добар одговор не мора бити дуг. Важно је да дете одбије ризичан поступак, предложи безбеднију могућност и остане мирно и пристојно.</w:t>
      </w:r>
    </w:p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Ви сте и даље најважнији модел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Ако одрасли због журбе прихвати ризичан поступак, детету шаље поруку да се правила могу мењати када нам не одговарају. Зато је посебно важно да дете види да и одрасли остаје при безбеднијем избору када касни, када други негодују или када „сви тако раде“.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Не претрчавајте улицу зато што журите.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Не користите телефон док прелазите улицу или водите дете кроз саобраћај.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У возилу нека се сви вежу пре поласка, на свакој вожњи.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При довожењу детета не заустављајте возило тако да заклањате прегледност или угрожавате другу децу.</w:t>
      </w:r>
    </w:p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Кратак безбедносни подсетник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Сви путници користе сигурносни појас на свакој вожњи и на сваком седишту на ком је појас предвиђен.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Дете ниже од 135 cm превози се у одговарајућем хомологованом безбедносном седишту, правилно постављеном и коришћеном у складу са упутством произвођача.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Дете млађе од 12 година не превози се на предњем седишту, осим законом прописаног изузетка.</w:t>
      </w:r>
    </w:p>
    <w:p>
      <w:pPr>
        <w:pStyle w:val="ListBullet"/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sz w:val="24"/>
        </w:rPr>
        <w:t>Кратка вожња и журба нису разлог за одступање од безбедносних правила.</w:t>
      </w:r>
    </w:p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Додатни дигитални ресурси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Скенирајте QR кодове за додатне материјале, стручни водич и евалуацију.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shd w:fill="F5F7FA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xmlns:a="http://schemas.openxmlformats.org/drawingml/2006/main" xmlns:pic="http://schemas.openxmlformats.org/drawingml/2006/picture">
                  <wp:extent cx="900000" cy="90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</w:rPr>
              <w:t>Пажљивко</w:t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Едукативни материјали за децу и родитеље</w:t>
            </w:r>
          </w:p>
          <w:p>
            <w:pPr>
              <w:spacing w:line="276" w:lineRule="auto" w:beforeAutospacing="1" w:afterAutospacing="1"/>
              <w:jc w:val="center"/>
            </w:pPr>
            <w:hyperlink r:id="rId9">
              <w:r>
                <w:rPr>
                  <w:color w:val="0563C1"/>
                  <w:u w:val="single"/>
                  <w:sz w:val="24"/>
                  <w:rFonts w:ascii="Times New Roman" w:hAnsi="Times New Roman" w:eastAsia="Times New Roman" w:cs="Times New Roman"/>
                  <w:szCs w:val="24"/>
                </w:rPr>
                <w:t>pazljivko.rs/</w:t>
              </w:r>
            </w:hyperlink>
          </w:p>
        </w:tc>
        <w:tc>
          <w:tcPr>
            <w:tcW w:type="dxa" w:w="4819"/>
            <w:vAlign w:val="center"/>
            <w:shd w:fill="F5F7FA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xmlns:a="http://schemas.openxmlformats.org/drawingml/2006/main" xmlns:pic="http://schemas.openxmlformats.org/drawingml/2006/picture">
                  <wp:extent cx="900000" cy="90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</w:rPr>
              <w:t>ЗУОВ – саобраћај</w:t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Материјали и ресурси за образовно-васпитни рад</w:t>
            </w:r>
          </w:p>
          <w:p>
            <w:pPr>
              <w:spacing w:line="276" w:lineRule="auto" w:beforeAutospacing="1" w:afterAutospacing="1"/>
              <w:jc w:val="center"/>
            </w:pPr>
            <w:hyperlink r:id="rId11">
              <w:r>
                <w:rPr>
                  <w:color w:val="0563C1"/>
                  <w:u w:val="single"/>
                  <w:sz w:val="24"/>
                  <w:rFonts w:ascii="Times New Roman" w:hAnsi="Times New Roman" w:eastAsia="Times New Roman" w:cs="Times New Roman"/>
                  <w:szCs w:val="24"/>
                </w:rPr>
                <w:t>zuov.gov.rs/saobracaj/</w:t>
              </w:r>
            </w:hyperlink>
          </w:p>
        </w:tc>
      </w:tr>
      <w:tr>
        <w:trPr>
          <w:cantSplit/>
        </w:trPr>
        <w:tc>
          <w:tcPr>
            <w:tcW w:type="dxa" w:w="4819"/>
            <w:vAlign w:val="center"/>
            <w:shd w:fill="F5F7FA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xmlns:a="http://schemas.openxmlformats.org/drawingml/2006/main" xmlns:pic="http://schemas.openxmlformats.org/drawingml/2006/picture">
                  <wp:extent cx="900000" cy="900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VODIC_ABS_v3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</w:rPr>
              <w:t>Водич АБС</w:t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Референтни оквир и методички водич</w:t>
            </w:r>
          </w:p>
          <w:p>
            <w:pPr>
              <w:spacing w:line="276" w:lineRule="auto" w:beforeAutospacing="1" w:afterAutospacing="1"/>
              <w:jc w:val="center"/>
            </w:pPr>
            <w:hyperlink r:id="rId19">
              <w:r>
                <w:rPr>
                  <w:color w:val="0563C1"/>
                  <w:u w:val="single"/>
                  <w:sz w:val="24"/>
                  <w:rFonts w:ascii="Times New Roman" w:hAnsi="Times New Roman" w:eastAsia="Times New Roman" w:cs="Times New Roman"/>
                  <w:szCs w:val="24"/>
                </w:rPr>
                <w:t>abs.gov.rs – Водич</w:t>
              </w:r>
            </w:hyperlink>
          </w:p>
        </w:tc>
        <w:tc>
          <w:tcPr>
            <w:tcW w:type="dxa" w:w="4819"/>
            <w:vAlign w:val="center"/>
            <w:shd w:fill="F5F7FA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xmlns:a="http://schemas.openxmlformats.org/drawingml/2006/main" xmlns:pic="http://schemas.openxmlformats.org/drawingml/2006/picture">
                  <wp:extent cx="900000" cy="90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</w:rPr>
              <w:t>Евалуација</w:t>
            </w:r>
          </w:p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Кратка анонимна евалуација активности</w:t>
            </w:r>
          </w:p>
          <w:p>
            <w:pPr>
              <w:spacing w:line="276" w:lineRule="auto" w:beforeAutospacing="1" w:afterAutospacing="1"/>
              <w:jc w:val="center"/>
            </w:pPr>
            <w:hyperlink r:id="rId22">
              <w:r>
                <w:rPr>
                  <w:color w:val="0563C1"/>
                  <w:u w:val="single"/>
                  <w:sz w:val="24"/>
                  <w:rFonts w:ascii="Times New Roman" w:hAnsi="Times New Roman" w:eastAsia="Times New Roman" w:cs="Times New Roman"/>
                  <w:szCs w:val="24"/>
                </w:rPr>
                <w:t>forms.gle/Z8yD8bTt7oZCv7zBA</w:t>
              </w:r>
            </w:hyperlink>
          </w:p>
        </w:tc>
      </w:tr>
    </w:tbl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Евалуација – Ваше мишљење је важно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Скенирајте QR код „Евалуација“ и изаберите грану за родитеље/старатеље. Попуњавање траје неколико минута и анонимно је. Најкорисније је да одговорите након разговора са дететом или предложене породичне активности.</w:t>
      </w:r>
    </w:p>
    <w:p>
      <w:pPr>
        <w:spacing w:line="276" w:lineRule="auto" w:beforeAutospacing="1" w:afterAutospacing="1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Значај евалуације: Ваши одговори помажу да се процени колико су материјали разумљиви и корисни у породици и шта треба унапредити у наредним верзијама програма „Деца у саобраћају“.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87"/>
      </w:tblGrid>
      <w:tr w:rsidR="00CE739A" w:rsidRPr="0082136A">
        <w:trPr>
          <w:cantSplit/>
          <w:jc w:val="center"/>
          <w:cantSplit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tcMar>
              <w:top w:w="90" w:type="dxa"/>
              <w:left w:w="80" w:type="dxa"/>
              <w:bottom w:w="90" w:type="dxa"/>
              <w:right w:w="80" w:type="dxa"/>
              <w:start w:w="100" w:type="dxa"/>
              <w:end w:w="100" w:type="dxa"/>
            </w:tcMar>
            <w:vAlign w:val="center"/>
          </w:tcPr>
          <w:p w:rsidR="00CE739A" w:rsidRPr="0082136A" w:rsidRDefault="000D41E6">
            <w:pPr>
              <w:spacing w:line="276" w:lineRule="auto" w:beforeAutospacing="1" w:afterAutospacing="1"/>
              <w:jc w:val="center"/>
              <w:rPr>
                <w:sz w:val="24"/>
                <w:szCs w:val="24"/>
              </w:rPr>
            </w:pPr>
            <w:r w:rsidRPr="0082136A">
              <w:rPr>
                <w:b/>
                <w:color w:val="FFFFFF"/>
                <w:sz w:val="24"/>
                <w:szCs w:val="24"/>
                <w:rFonts w:ascii="Times New Roman" w:hAnsi="Times New Roman" w:eastAsia="Times New Roman" w:cs="Times New Roman"/>
              </w:rPr>
              <w:t>Школа усмерава учење. Породица га претвара у свакодневну навику.</w:t>
            </w:r>
          </w:p>
        </w:tc>
      </w:tr>
    </w:tbl>
    <w:p>
      <w:pPr>
        <w:spacing w:line="276" w:lineRule="auto" w:beforeAutospacing="1" w:afterAutospacing="1"/>
        <w:jc w:val="left"/>
      </w:pPr>
      <w:r>
        <w:rPr>
          <w:rFonts w:ascii="Times New Roman" w:hAnsi="Times New Roman" w:eastAsia="Times New Roman"/>
          <w:b/>
          <w:color w:val="1F4E78"/>
          <w:sz w:val="28"/>
        </w:rPr>
        <w:t>Контакт и подршка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space="0" w:color="255783"/>
          <w:left w:val="single" w:sz="8" w:space="0" w:color="255783"/>
          <w:bottom w:val="single" w:sz="8" w:space="0" w:color="255783"/>
          <w:right w:val="single" w:sz="8" w:space="0" w:color="255783"/>
          <w:insideH w:val="single" w:sz="8" w:space="0" w:color="255783"/>
          <w:insideV w:val="single" w:sz="8" w:space="0" w:color="255783"/>
        </w:tblBorders>
      </w:tblPr>
      <w:tblGrid>
        <w:gridCol w:w="2268"/>
        <w:gridCol w:w="6973"/>
      </w:tblGrid>
      <w:tr>
        <w:trPr>
          <w:cantSplit/>
          <w:cantSplit/>
        </w:trPr>
        <w:tc>
          <w:tcPr>
            <w:tcW w:type="dxa" w:w="2268"/>
            <w:shd w:fill="F3F7FB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line="276" w:lineRule="auto" w:beforeAutospacing="1" w:afterAutospacing="1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xmlns:a="http://schemas.openxmlformats.org/drawingml/2006/main" xmlns:pic="http://schemas.openxmlformats.org/drawingml/2006/picture">
                  <wp:extent cx="936000" cy="936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KONTAKT_EMAIL_v5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b/>
                <w:color w:val="255783"/>
                <w:sz w:val="24"/>
                <w:szCs w:val="24"/>
              </w:rPr>
              <w:br/>
              <w:t>QR контакт</w:t>
            </w:r>
          </w:p>
        </w:tc>
        <w:tc>
          <w:tcPr>
            <w:tcW w:type="dxa" w:w="6973"/>
            <w:shd w:fill="F3F7FB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line="276" w:lineRule="auto" w:beforeAutospacing="1" w:afterAutospacing="1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За сва питања и подршку у вези са материјалима и реализацијом активности можете нам се обратити на:</w:t>
            </w:r>
          </w:p>
          <w:p>
            <w:pPr>
              <w:spacing w:line="276" w:lineRule="auto" w:beforeAutospacing="1" w:afterAutospacing="1"/>
            </w:pPr>
            <w:hyperlink r:id="rId24">
              <w:r>
                <w:rPr>
                  <w:color w:val="0563C1"/>
                  <w:u w:val="single"/>
                  <w:b/>
                  <w:sz w:val="24"/>
                  <w:rFonts w:ascii="Times New Roman" w:hAnsi="Times New Roman" w:eastAsia="Times New Roman" w:cs="Times New Roman"/>
                  <w:szCs w:val="24"/>
                </w:rPr>
                <w:t>decausaobracaju@abs.gov.rs</w:t>
              </w:r>
            </w:hyperlink>
          </w:p>
          <w:p>
            <w:pPr>
              <w:spacing w:line="276" w:lineRule="auto" w:beforeAutospacing="1" w:afterAutospacing="1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Скенирајте QR код или кликните на мејл адресу за директан контакт.</w:t>
            </w:r>
          </w:p>
        </w:tc>
      </w:tr>
    </w:tbl>
    <w:sectPr w:rsidR="000D41E6" w:rsidRPr="0082136A" w:rsidSect="00146A08">
      <w:headerReference w:type="default" r:id="rId12"/>
      <w:footerReference w:type="default" r:id="rId13"/>
      <w:pgSz w:w="11906" w:h="16838" w:code="9"/>
      <w:pgMar w:top="1134" w:right="1134" w:bottom="1134" w:left="1134" w:header="36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1DB" w:rsidRDefault="00BA01DB">
      <w:pPr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separator/>
      </w:r>
    </w:p>
  </w:endnote>
  <w:endnote w:type="continuationSeparator" w:id="0">
    <w:p w:rsidR="00BA01DB" w:rsidRDefault="00BA01DB">
      <w:pPr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jc w:val="center"/>
    </w:pPr>
    <w:r/>
    <w:r>
      <w:rPr>
        <w:rFonts w:ascii="Times New Roman" w:hAnsi="Times New Roman"/>
        <w:sz w:val="20"/>
      </w:rPr>
      <w:t xml:space="preserve">Деца у саобраћају • IV разред • Страна </w:t>
    </w:r>
    <w:fldSimple w:instr="PAGE"/>
  </w:p>
  <w:p>
    <w:pPr>
      <w:jc w:val="right"/>
    </w:pP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1DB" w:rsidRDefault="00BA01DB">
      <w:pPr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separator/>
      </w:r>
    </w:p>
  </w:footnote>
  <w:footnote w:type="continuationSeparator" w:id="0">
    <w:p w:rsidR="00BA01DB" w:rsidRDefault="00BA01DB">
      <w:pPr>
        <w:spacing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4819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944000" cy="39497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39497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49600" cy="655455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9600" cy="65545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4" w:space="1" w:color="B7B7B7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41E6"/>
    <w:rsid w:val="00146A08"/>
    <w:rsid w:val="0015074B"/>
    <w:rsid w:val="0029639D"/>
    <w:rsid w:val="00326F90"/>
    <w:rsid w:val="0082136A"/>
    <w:rsid w:val="00A23412"/>
    <w:rsid w:val="00AA1D8D"/>
    <w:rsid w:val="00B47730"/>
    <w:rsid w:val="00BA01DB"/>
    <w:rsid w:val="00CB0664"/>
    <w:rsid w:val="00CE73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52B57A3A-76AF-412D-85B1-A1150AB5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1F4E78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1F4E78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1F4E78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 w:eastAsia="Times New Roman" w:cs="Times New Roman"/>
      <w:color w:val="243F60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 w:eastAsia="Times New Roman" w:cs="Times New Roman"/>
      <w:color w:val="4F81BD" w:themeColor="accent1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4F81BD" w:themeColor="accen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color w:val="4F81BD" w:themeColor="accent1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 w:ascii="Times New Roman" w:hAnsi="Times New Roman" w:eastAsia="Times New Roman" w:cs="Times New Roman"/>
      <w:b/>
      <w:color w:val="1F4E78"/>
      <w:spacing w:val="5"/>
      <w:kern w:val="28"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17365D" w:themeColor="text2" w:themeShade="BF"/>
      <w:spacing w:val="5"/>
      <w:kern w:val="28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4"/>
      <w:szCs w:val="24"/>
      <w:rFonts w:ascii="Times New Roman" w:hAnsi="Times New Roman" w:eastAsia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4"/>
      <w:szCs w:val="24"/>
      <w:rFonts w:ascii="Times New Roman" w:hAnsi="Times New Roman" w:eastAsia="Times New Roman" w:cs="Times New Roman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rFonts w:ascii="Times New Roman" w:hAnsi="Times New Roman" w:eastAsia="Times New Roman" w:cs="Times New Roman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rFonts w:ascii="Times New Roman" w:hAnsi="Times New Roman" w:eastAsia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color w:val="4F81BD" w:themeColor="accen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 w:cs="Times New Roman"/>
      <w:i/>
      <w:iCs/>
      <w:color w:val="404040" w:themeColor="text1" w:themeTint="BF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4"/>
      <w:szCs w:val="24"/>
      <w:rFonts w:ascii="Times New Roman" w:hAnsi="Times New Roman" w:eastAsia="Times New Roman" w:cs="Times New Roman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Times New Roman" w:hAnsi="Times New Roman"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Times New Roman" w:hAnsi="Times New Roman" w:eastAsia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rFonts w:ascii="Times New Roman" w:hAnsi="Times New Roman" w:eastAsia="Times New Roman" w:cs="Times New Roman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rFonts w:ascii="Times New Roman" w:hAnsi="Times New Roman" w:eastAsia="Times New Roman" w:cs="Times New Roman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rFonts w:ascii="Times New Roman" w:hAnsi="Times New Roman" w:eastAsia="Times New Roman" w:cs="Times New Roman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rFonts w:ascii="Times New Roman" w:hAnsi="Times New Roman" w:eastAsia="Times New Roman" w:cs="Times New Roman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rFonts w:ascii="Times New Roman" w:hAnsi="Times New Roman" w:eastAsia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rFonts w:ascii="Times New Roman" w:hAnsi="Times New Roman" w:eastAsia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Times New Roman" w:hAnsi="Times New Roman" w:eastAsia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</w:tblStylePr>
    <w:tblStylePr w:type="lastCol">
      <w:rPr>
        <w:rFonts w:asciiTheme="majorHAnsi" w:eastAsiaTheme="majorEastAsia" w:hAnsiTheme="majorHAnsi" w:cstheme="majorBidi" w:ascii="Times New Roman" w:hAnsi="Times New Roman" w:eastAsia="Times New Roman" w:cs="Times New Roman"/>
        <w:b/>
        <w:bCs/>
        <w:sz w:val="24"/>
        <w:szCs w:val="24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  <w:rFonts w:ascii="Times New Roman" w:hAnsi="Times New Roman" w:eastAsia="Times New Roman" w:cs="Times New Roman"/>
        <w:sz w:val="24"/>
        <w:szCs w:val="24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 w:ascii="Times New Roman" w:hAnsi="Times New Roman" w:eastAsia="Times New Roman" w:cs="Times New Roman"/>
        <w:sz w:val="24"/>
        <w:szCs w:val="24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 w:ascii="Times New Roman" w:hAnsi="Times New Roman" w:eastAsia="Times New Roman" w:cs="Times New Roman"/>
        <w:sz w:val="24"/>
        <w:szCs w:val="24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 w:ascii="Times New Roman" w:hAnsi="Times New Roman" w:eastAsia="Times New Roman" w:cs="Times New Roman"/>
        <w:sz w:val="24"/>
        <w:szCs w:val="24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 w:ascii="Times New Roman" w:hAnsi="Times New Roman" w:eastAsia="Times New Roman" w:cs="Times New Roman"/>
        <w:sz w:val="24"/>
        <w:szCs w:val="24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 w:ascii="Times New Roman" w:hAnsi="Times New Roman" w:eastAsia="Times New Roman" w:cs="Times New Roman"/>
        <w:sz w:val="24"/>
        <w:szCs w:val="24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 w:ascii="Times New Roman" w:hAnsi="Times New Roman" w:eastAsia="Times New Roman" w:cs="Times New Roman"/>
        <w:sz w:val="24"/>
        <w:szCs w:val="24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 w:ascii="Times New Roman" w:hAnsi="Times New Roman" w:eastAsia="Times New Roman" w:cs="Times New Roman"/>
        <w:sz w:val="24"/>
        <w:szCs w:val="24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 w:cs="Times New Roman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  <w:tblStylePr w:type="nw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  <w:tblStylePr w:type="nw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  <w:tblStylePr w:type="nw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  <w:tblStylePr w:type="nw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  <w:tblStylePr w:type="nw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  <w:tblStylePr w:type="nwCell">
      <w:rPr>
        <w:color w:val="000000" w:themeColor="text1"/>
        <w:rFonts w:ascii="Times New Roman" w:hAnsi="Times New Roman" w:eastAsia="Times New Roman" w:cs="Times New Roman"/>
        <w:sz w:val="24"/>
        <w:szCs w:val="24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rFonts w:ascii="Times New Roman" w:hAnsi="Times New Roman" w:eastAsia="Times New Roman" w:cs="Times New Roman"/>
        <w:sz w:val="24"/>
        <w:szCs w:val="24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lastCol">
      <w:rPr>
        <w:b/>
        <w:bCs/>
        <w:rFonts w:ascii="Times New Roman" w:hAnsi="Times New Roman" w:eastAsia="Times New Roman" w:cs="Times New Roman"/>
        <w:sz w:val="24"/>
        <w:szCs w:val="24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Times New Roman" w:hAnsi="Times New Roman" w:eastAsia="Times New Roman" w:cs="Times New Roman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rFonts w:ascii="Times New Roman" w:hAnsi="Times New Roman" w:eastAsia="Times New Roman" w:cs="Times New Roman"/>
        <w:sz w:val="24"/>
        <w:szCs w:val="24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2136A"/>
    <w:pPr>
      <w:spacing w:after="0" w:line="240" w:lineRule="auto"/>
    </w:pPr>
    <w:rPr>
      <w:rFonts w:ascii="Times New Roman" w:hAnsi="Times New Roman" w:cs="Times New Roman" w:eastAsia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36A"/>
    <w:rPr>
      <w:rFonts w:ascii="Times New Roman" w:hAnsi="Times New Roman" w:cs="Times New Roman"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uov.gov.rs/saobracaj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pazljivko.rs/" TargetMode="External"/><Relationship Id="rId14" Type="http://schemas.openxmlformats.org/officeDocument/2006/relationships/fontTable" Target="fontTable.xml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hyperlink" Target="https://abs.gov.rs/static/uploads/20160_ABS_Vodic_ObrazovnoVaspitniRad_web%20%283%29.pdf" TargetMode="External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hyperlink" Target="https://forms.gle/Z8yD8bTt7oZCv7zBA" TargetMode="External"/><Relationship Id="rId23" Type="http://schemas.openxmlformats.org/officeDocument/2006/relationships/image" Target="media/image10.png"/><Relationship Id="rId24" Type="http://schemas.openxmlformats.org/officeDocument/2006/relationships/hyperlink" Target="mailto:decausaobracaju@abs.gov.rs" TargetMode="External"/><Relationship Id="rId25" Type="http://schemas.openxmlformats.org/officeDocument/2006/relationships/image" Target="media/image11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3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832F04-9813-4951-AAEA-9E0AF74A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ДЕЦА У САОБРАЋАЈУ – I разред</dc:title>
  <dc:subject>Кратки водич за родитеље</dc:subject>
  <dc:creator>python-docx</dc:creator>
  <cp:keywords/>
  <dc:description>generated by python-docx</dc:description>
  <cp:lastModifiedBy>Milan Ilic</cp:lastModifiedBy>
  <cp:revision>4</cp:revision>
  <cp:lastPrinted>2026-08-24T07:48:00Z</cp:lastPrinted>
  <dcterms:created xsi:type="dcterms:W3CDTF">2013-12-23T23:15:00Z</dcterms:created>
  <dcterms:modified xsi:type="dcterms:W3CDTF">2026-08-24T07:51:00Z</dcterms:modified>
  <cp:category/>
</cp:coreProperties>
</file>